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E3" w:rsidRPr="00770CE8" w:rsidRDefault="00081AE3" w:rsidP="00081AE3">
      <w:pPr>
        <w:pBdr>
          <w:bottom w:val="single" w:sz="4" w:space="1" w:color="auto"/>
        </w:pBdr>
        <w:ind w:firstLine="720"/>
        <w:jc w:val="center"/>
        <w:rPr>
          <w:rFonts w:ascii="Palatino Linotype" w:hAnsi="Palatino Linotype"/>
          <w:sz w:val="24"/>
          <w:szCs w:val="24"/>
        </w:rPr>
      </w:pPr>
      <w:bookmarkStart w:id="0" w:name="_GoBack"/>
      <w:bookmarkEnd w:id="0"/>
      <w:r w:rsidRPr="00770CE8">
        <w:rPr>
          <w:rFonts w:ascii="Palatino Linotype" w:hAnsi="Palatino Linotype"/>
          <w:noProof/>
          <w:sz w:val="24"/>
          <w:szCs w:val="24"/>
        </w:rPr>
        <w:drawing>
          <wp:inline distT="0" distB="0" distL="0" distR="0" wp14:anchorId="3C7F293B" wp14:editId="755D8064">
            <wp:extent cx="204343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87878" cy="681253"/>
                    </a:xfrm>
                    <a:prstGeom prst="rect">
                      <a:avLst/>
                    </a:prstGeom>
                  </pic:spPr>
                </pic:pic>
              </a:graphicData>
            </a:graphic>
          </wp:inline>
        </w:drawing>
      </w:r>
    </w:p>
    <w:p w:rsidR="00081AE3" w:rsidRDefault="00081AE3" w:rsidP="00081AE3">
      <w:pPr>
        <w:pBdr>
          <w:bottom w:val="single" w:sz="4" w:space="1" w:color="auto"/>
        </w:pBdr>
        <w:jc w:val="center"/>
        <w:rPr>
          <w:rFonts w:ascii="Palatino Linotype" w:hAnsi="Palatino Linotype"/>
          <w:b/>
          <w:sz w:val="24"/>
          <w:szCs w:val="24"/>
        </w:rPr>
      </w:pPr>
      <w:r>
        <w:rPr>
          <w:rFonts w:ascii="Palatino Linotype" w:hAnsi="Palatino Linotype"/>
          <w:b/>
          <w:sz w:val="24"/>
          <w:szCs w:val="24"/>
        </w:rPr>
        <w:t>STAKEHOLDER FEEDBACK FORM</w:t>
      </w:r>
    </w:p>
    <w:p w:rsidR="00081AE3" w:rsidRPr="006766D1" w:rsidRDefault="00081AE3" w:rsidP="00081AE3">
      <w:pPr>
        <w:pBdr>
          <w:bottom w:val="single" w:sz="4" w:space="1" w:color="auto"/>
        </w:pBdr>
        <w:jc w:val="center"/>
        <w:rPr>
          <w:rFonts w:ascii="Palatino Linotype" w:hAnsi="Palatino Linotype"/>
          <w:b/>
          <w:sz w:val="24"/>
          <w:szCs w:val="24"/>
        </w:rPr>
      </w:pPr>
      <w:r w:rsidRPr="006766D1">
        <w:rPr>
          <w:rFonts w:ascii="Palatino Linotype" w:hAnsi="Palatino Linotype"/>
          <w:b/>
          <w:sz w:val="24"/>
          <w:szCs w:val="24"/>
        </w:rPr>
        <w:t xml:space="preserve">THE PROPOSED </w:t>
      </w:r>
      <w:r w:rsidRPr="006766D1">
        <w:rPr>
          <w:rFonts w:ascii="Palatino Linotype" w:eastAsia="Georgia" w:hAnsi="Palatino Linotype" w:cs="Georgia"/>
          <w:b/>
          <w:sz w:val="24"/>
          <w:szCs w:val="24"/>
          <w:lang w:val="en-US" w:bidi="en-US"/>
        </w:rPr>
        <w:t xml:space="preserve">MID &amp; DOWNSTREAM </w:t>
      </w:r>
      <w:r w:rsidRPr="006766D1">
        <w:rPr>
          <w:rFonts w:ascii="Palatino Linotype" w:hAnsi="Palatino Linotype"/>
          <w:b/>
          <w:sz w:val="24"/>
          <w:szCs w:val="24"/>
        </w:rPr>
        <w:t>DRAFT REGULATIONS</w:t>
      </w:r>
    </w:p>
    <w:p w:rsidR="00081AE3" w:rsidRPr="006766D1" w:rsidRDefault="00081AE3" w:rsidP="00081AE3">
      <w:pPr>
        <w:pStyle w:val="BodyText"/>
        <w:spacing w:line="254" w:lineRule="auto"/>
        <w:ind w:right="-46"/>
        <w:jc w:val="both"/>
        <w:rPr>
          <w:rFonts w:ascii="Palatino Linotype" w:hAnsi="Palatino Linotype"/>
          <w:sz w:val="24"/>
          <w:szCs w:val="24"/>
        </w:rPr>
      </w:pPr>
      <w:r w:rsidRPr="006766D1">
        <w:rPr>
          <w:rFonts w:ascii="Palatino Linotype" w:hAnsi="Palatino Linotype"/>
          <w:sz w:val="24"/>
          <w:szCs w:val="24"/>
        </w:rPr>
        <w:t>The Energy and Petroleum Regulatory Authority (EPRA) is established under the Energy Act 2019 as the energy and petroleum sector regulator, with the responsibility for economic and technical regulation of electrical power, renewable energy and petroleum sub sectors.</w:t>
      </w:r>
    </w:p>
    <w:p w:rsidR="00081AE3" w:rsidRPr="006766D1" w:rsidRDefault="00081AE3" w:rsidP="00081AE3">
      <w:pPr>
        <w:pStyle w:val="BodyText"/>
        <w:spacing w:line="254" w:lineRule="auto"/>
        <w:ind w:left="567" w:right="1017"/>
        <w:jc w:val="both"/>
        <w:rPr>
          <w:rFonts w:ascii="Palatino Linotype" w:hAnsi="Palatino Linotype"/>
          <w:sz w:val="24"/>
          <w:szCs w:val="24"/>
        </w:rPr>
      </w:pPr>
    </w:p>
    <w:p w:rsidR="00081AE3" w:rsidRPr="006766D1" w:rsidRDefault="00081AE3" w:rsidP="00081AE3">
      <w:pPr>
        <w:pStyle w:val="BodyText"/>
        <w:spacing w:line="254" w:lineRule="auto"/>
        <w:ind w:right="-46"/>
        <w:jc w:val="both"/>
        <w:rPr>
          <w:rFonts w:ascii="Palatino Linotype" w:hAnsi="Palatino Linotype"/>
          <w:color w:val="5B9BD5" w:themeColor="accent1"/>
          <w:sz w:val="24"/>
          <w:szCs w:val="24"/>
        </w:rPr>
      </w:pPr>
      <w:r w:rsidRPr="006766D1">
        <w:rPr>
          <w:rFonts w:ascii="Palatino Linotype" w:hAnsi="Palatino Linotype"/>
          <w:sz w:val="24"/>
          <w:szCs w:val="24"/>
        </w:rPr>
        <w:t xml:space="preserve">The enactment of the Energy Act 2019 and the Petroleum Act 2019 introduced changes in the regulatory framework of the petroleum sub-sector. In order to accommodate the changes, EPRA has developed a set of eleven (11) draft regulations that were published in the </w:t>
      </w:r>
      <w:hyperlink r:id="rId6" w:history="1">
        <w:r w:rsidRPr="006766D1">
          <w:rPr>
            <w:rStyle w:val="Hyperlink"/>
            <w:rFonts w:ascii="Palatino Linotype" w:hAnsi="Palatino Linotype"/>
            <w:color w:val="5B9BD5" w:themeColor="accent1"/>
            <w:sz w:val="24"/>
            <w:szCs w:val="24"/>
          </w:rPr>
          <w:t>Kenya Gazette Vol. CXXII No. 242 of 31</w:t>
        </w:r>
        <w:r w:rsidRPr="006766D1">
          <w:rPr>
            <w:rStyle w:val="Hyperlink"/>
            <w:rFonts w:ascii="Palatino Linotype" w:hAnsi="Palatino Linotype"/>
            <w:color w:val="5B9BD5" w:themeColor="accent1"/>
            <w:sz w:val="24"/>
            <w:szCs w:val="24"/>
            <w:vertAlign w:val="superscript"/>
          </w:rPr>
          <w:t>st</w:t>
        </w:r>
        <w:r w:rsidRPr="006766D1">
          <w:rPr>
            <w:rStyle w:val="Hyperlink"/>
            <w:rFonts w:ascii="Palatino Linotype" w:hAnsi="Palatino Linotype"/>
            <w:color w:val="5B9BD5" w:themeColor="accent1"/>
            <w:sz w:val="24"/>
            <w:szCs w:val="24"/>
          </w:rPr>
          <w:t xml:space="preserve"> Decemb</w:t>
        </w:r>
        <w:r w:rsidRPr="006766D1">
          <w:rPr>
            <w:rStyle w:val="Hyperlink"/>
            <w:rFonts w:ascii="Palatino Linotype" w:hAnsi="Palatino Linotype"/>
            <w:color w:val="5B9BD5" w:themeColor="accent1"/>
            <w:sz w:val="24"/>
            <w:szCs w:val="24"/>
          </w:rPr>
          <w:t>er 2020</w:t>
        </w:r>
      </w:hyperlink>
      <w:r w:rsidRPr="006766D1">
        <w:rPr>
          <w:rFonts w:ascii="Palatino Linotype" w:hAnsi="Palatino Linotype"/>
          <w:sz w:val="24"/>
          <w:szCs w:val="24"/>
        </w:rPr>
        <w:t xml:space="preserve"> and can be downloaded from the Authority’s website at </w:t>
      </w:r>
      <w:hyperlink r:id="rId7" w:history="1">
        <w:r w:rsidRPr="006766D1">
          <w:rPr>
            <w:rStyle w:val="Hyperlink"/>
            <w:rFonts w:ascii="Palatino Linotype" w:hAnsi="Palatino Linotype"/>
            <w:color w:val="5B9BD5" w:themeColor="accent1"/>
            <w:sz w:val="24"/>
            <w:szCs w:val="24"/>
          </w:rPr>
          <w:t>www.epra.go.ke</w:t>
        </w:r>
      </w:hyperlink>
      <w:r w:rsidRPr="006766D1">
        <w:rPr>
          <w:rFonts w:ascii="Palatino Linotype" w:hAnsi="Palatino Linotype"/>
          <w:color w:val="5B9BD5" w:themeColor="accent1"/>
          <w:sz w:val="24"/>
          <w:szCs w:val="24"/>
        </w:rPr>
        <w:t>.</w:t>
      </w:r>
    </w:p>
    <w:p w:rsidR="00081AE3" w:rsidRPr="006766D1" w:rsidRDefault="00081AE3" w:rsidP="00081AE3">
      <w:pPr>
        <w:pStyle w:val="BodyText"/>
        <w:spacing w:line="254" w:lineRule="auto"/>
        <w:ind w:right="1017"/>
        <w:jc w:val="both"/>
        <w:rPr>
          <w:rFonts w:ascii="Palatino Linotype" w:hAnsi="Palatino Linotype"/>
          <w:sz w:val="24"/>
          <w:szCs w:val="24"/>
        </w:rPr>
      </w:pPr>
    </w:p>
    <w:p w:rsidR="00081AE3" w:rsidRPr="006766D1" w:rsidRDefault="00081AE3" w:rsidP="00081AE3">
      <w:pPr>
        <w:pStyle w:val="BodyText"/>
        <w:spacing w:line="254" w:lineRule="auto"/>
        <w:ind w:right="-46"/>
        <w:jc w:val="both"/>
        <w:rPr>
          <w:rFonts w:ascii="Palatino Linotype" w:hAnsi="Palatino Linotype"/>
          <w:sz w:val="24"/>
          <w:szCs w:val="24"/>
        </w:rPr>
      </w:pPr>
      <w:r w:rsidRPr="006766D1">
        <w:rPr>
          <w:rFonts w:ascii="Palatino Linotype" w:hAnsi="Palatino Linotype"/>
          <w:sz w:val="24"/>
          <w:szCs w:val="24"/>
        </w:rPr>
        <w:t>Accordingly, and in line with the requirements of the Statutory Instruments Act No. 23 of 2013, EPRA will embark on public and stakeholder consultations with a view to receiving comments on the proposed draft regulations.</w:t>
      </w:r>
    </w:p>
    <w:p w:rsidR="00081AE3" w:rsidRPr="006766D1" w:rsidRDefault="00081AE3" w:rsidP="00081AE3">
      <w:pPr>
        <w:pStyle w:val="BodyText"/>
        <w:spacing w:line="254" w:lineRule="auto"/>
        <w:ind w:right="1017"/>
        <w:jc w:val="both"/>
        <w:rPr>
          <w:rFonts w:ascii="Palatino Linotype" w:hAnsi="Palatino Linotype"/>
          <w:sz w:val="24"/>
          <w:szCs w:val="24"/>
        </w:rPr>
      </w:pPr>
    </w:p>
    <w:p w:rsidR="00081AE3" w:rsidRPr="006766D1" w:rsidRDefault="00081AE3" w:rsidP="00081AE3">
      <w:pPr>
        <w:autoSpaceDE w:val="0"/>
        <w:autoSpaceDN w:val="0"/>
        <w:adjustRightInd w:val="0"/>
        <w:spacing w:after="0" w:line="240" w:lineRule="auto"/>
        <w:jc w:val="both"/>
        <w:rPr>
          <w:rFonts w:ascii="Palatino Linotype" w:hAnsi="Palatino Linotype" w:cstheme="minorHAnsi"/>
          <w:color w:val="000000" w:themeColor="text1"/>
          <w:sz w:val="24"/>
          <w:szCs w:val="24"/>
        </w:rPr>
      </w:pPr>
      <w:r w:rsidRPr="006766D1">
        <w:rPr>
          <w:rFonts w:ascii="Palatino Linotype" w:hAnsi="Palatino Linotype" w:cstheme="minorHAnsi"/>
          <w:color w:val="000000" w:themeColor="text1"/>
          <w:sz w:val="24"/>
          <w:szCs w:val="24"/>
        </w:rPr>
        <w:t>Stakeholders are requested to review the aforementioned documents and provide feedback that will be considered for incorporation in the regulations that will be gazetted. Feedback should be provided in the following format:</w:t>
      </w:r>
    </w:p>
    <w:p w:rsidR="00081AE3" w:rsidRPr="00770CE8" w:rsidRDefault="00081AE3" w:rsidP="00081AE3">
      <w:pPr>
        <w:autoSpaceDE w:val="0"/>
        <w:autoSpaceDN w:val="0"/>
        <w:adjustRightInd w:val="0"/>
        <w:spacing w:after="0" w:line="240" w:lineRule="auto"/>
        <w:jc w:val="both"/>
        <w:rPr>
          <w:rFonts w:ascii="Palatino Linotype" w:hAnsi="Palatino Linotype" w:cstheme="minorHAnsi"/>
          <w:color w:val="000000" w:themeColor="text1"/>
          <w:sz w:val="24"/>
          <w:szCs w:val="24"/>
        </w:rPr>
      </w:pPr>
    </w:p>
    <w:p w:rsidR="00081AE3" w:rsidRPr="00770CE8" w:rsidRDefault="00081AE3" w:rsidP="00081AE3">
      <w:pPr>
        <w:pStyle w:val="BodyText"/>
        <w:spacing w:line="254" w:lineRule="auto"/>
        <w:ind w:left="567" w:right="1017"/>
        <w:jc w:val="both"/>
        <w:rPr>
          <w:rFonts w:ascii="Palatino Linotype" w:hAnsi="Palatino Linotype"/>
          <w:sz w:val="24"/>
          <w:szCs w:val="24"/>
        </w:rPr>
      </w:pPr>
    </w:p>
    <w:tbl>
      <w:tblPr>
        <w:tblStyle w:val="TableGrid"/>
        <w:tblW w:w="8883" w:type="dxa"/>
        <w:tblInd w:w="-5" w:type="dxa"/>
        <w:tblLook w:val="04A0" w:firstRow="1" w:lastRow="0" w:firstColumn="1" w:lastColumn="0" w:noHBand="0" w:noVBand="1"/>
      </w:tblPr>
      <w:tblGrid>
        <w:gridCol w:w="846"/>
        <w:gridCol w:w="1706"/>
        <w:gridCol w:w="1843"/>
        <w:gridCol w:w="1984"/>
        <w:gridCol w:w="2504"/>
      </w:tblGrid>
      <w:tr w:rsidR="00081AE3" w:rsidRPr="00770CE8" w:rsidTr="001D05E5">
        <w:trPr>
          <w:trHeight w:val="852"/>
          <w:tblHeader/>
        </w:trPr>
        <w:tc>
          <w:tcPr>
            <w:tcW w:w="846" w:type="dxa"/>
            <w:shd w:val="clear" w:color="auto" w:fill="D9D9D9" w:themeFill="background1" w:themeFillShade="D9"/>
            <w:vAlign w:val="bottom"/>
          </w:tcPr>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Item No.</w:t>
            </w:r>
          </w:p>
        </w:tc>
        <w:tc>
          <w:tcPr>
            <w:tcW w:w="1706" w:type="dxa"/>
            <w:shd w:val="clear" w:color="auto" w:fill="D9D9D9" w:themeFill="background1" w:themeFillShade="D9"/>
          </w:tcPr>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Draft Regulation Title</w:t>
            </w:r>
          </w:p>
        </w:tc>
        <w:tc>
          <w:tcPr>
            <w:tcW w:w="1843" w:type="dxa"/>
            <w:shd w:val="clear" w:color="auto" w:fill="D9D9D9" w:themeFill="background1" w:themeFillShade="D9"/>
            <w:vAlign w:val="bottom"/>
          </w:tcPr>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Section/</w:t>
            </w:r>
          </w:p>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Page No</w:t>
            </w:r>
          </w:p>
        </w:tc>
        <w:tc>
          <w:tcPr>
            <w:tcW w:w="1984" w:type="dxa"/>
            <w:shd w:val="clear" w:color="auto" w:fill="D9D9D9" w:themeFill="background1" w:themeFillShade="D9"/>
            <w:vAlign w:val="bottom"/>
          </w:tcPr>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Issue/ Comment</w:t>
            </w:r>
          </w:p>
        </w:tc>
        <w:tc>
          <w:tcPr>
            <w:tcW w:w="2504" w:type="dxa"/>
            <w:shd w:val="clear" w:color="auto" w:fill="D9D9D9" w:themeFill="background1" w:themeFillShade="D9"/>
            <w:vAlign w:val="bottom"/>
          </w:tcPr>
          <w:p w:rsidR="00081AE3" w:rsidRPr="00770CE8" w:rsidRDefault="00081AE3" w:rsidP="001D05E5">
            <w:pPr>
              <w:jc w:val="both"/>
              <w:rPr>
                <w:rFonts w:ascii="Palatino Linotype" w:hAnsi="Palatino Linotype"/>
                <w:b/>
                <w:sz w:val="24"/>
                <w:szCs w:val="24"/>
              </w:rPr>
            </w:pPr>
            <w:r w:rsidRPr="00770CE8">
              <w:rPr>
                <w:rFonts w:ascii="Palatino Linotype" w:hAnsi="Palatino Linotype"/>
                <w:b/>
                <w:sz w:val="24"/>
                <w:szCs w:val="24"/>
              </w:rPr>
              <w:t>Proposal</w:t>
            </w:r>
          </w:p>
        </w:tc>
      </w:tr>
      <w:tr w:rsidR="00081AE3" w:rsidRPr="00770CE8" w:rsidTr="001D05E5">
        <w:trPr>
          <w:trHeight w:val="283"/>
        </w:trPr>
        <w:tc>
          <w:tcPr>
            <w:tcW w:w="846" w:type="dxa"/>
          </w:tcPr>
          <w:p w:rsidR="00081AE3" w:rsidRPr="00770CE8" w:rsidRDefault="00081AE3" w:rsidP="00081AE3">
            <w:pPr>
              <w:pStyle w:val="ListParagraph"/>
              <w:numPr>
                <w:ilvl w:val="0"/>
                <w:numId w:val="1"/>
              </w:numPr>
              <w:spacing w:after="0" w:line="240" w:lineRule="auto"/>
              <w:jc w:val="both"/>
              <w:rPr>
                <w:rFonts w:ascii="Palatino Linotype" w:hAnsi="Palatino Linotype"/>
                <w:sz w:val="24"/>
                <w:szCs w:val="24"/>
              </w:rPr>
            </w:pPr>
          </w:p>
        </w:tc>
        <w:tc>
          <w:tcPr>
            <w:tcW w:w="1706" w:type="dxa"/>
          </w:tcPr>
          <w:p w:rsidR="00081AE3" w:rsidRPr="00770CE8" w:rsidRDefault="00081AE3" w:rsidP="001D05E5">
            <w:pPr>
              <w:jc w:val="both"/>
              <w:rPr>
                <w:rFonts w:ascii="Palatino Linotype" w:hAnsi="Palatino Linotype"/>
                <w:sz w:val="24"/>
                <w:szCs w:val="24"/>
              </w:rPr>
            </w:pPr>
          </w:p>
        </w:tc>
        <w:tc>
          <w:tcPr>
            <w:tcW w:w="1843" w:type="dxa"/>
          </w:tcPr>
          <w:p w:rsidR="00081AE3" w:rsidRPr="00770CE8" w:rsidRDefault="00081AE3" w:rsidP="001D05E5">
            <w:pPr>
              <w:jc w:val="both"/>
              <w:rPr>
                <w:rFonts w:ascii="Palatino Linotype" w:hAnsi="Palatino Linotype"/>
                <w:sz w:val="24"/>
                <w:szCs w:val="24"/>
              </w:rPr>
            </w:pPr>
          </w:p>
        </w:tc>
        <w:tc>
          <w:tcPr>
            <w:tcW w:w="1984" w:type="dxa"/>
          </w:tcPr>
          <w:p w:rsidR="00081AE3" w:rsidRPr="00770CE8" w:rsidRDefault="00081AE3" w:rsidP="001D05E5">
            <w:pPr>
              <w:jc w:val="both"/>
              <w:rPr>
                <w:rFonts w:ascii="Palatino Linotype" w:hAnsi="Palatino Linotype"/>
                <w:sz w:val="24"/>
                <w:szCs w:val="24"/>
              </w:rPr>
            </w:pPr>
          </w:p>
        </w:tc>
        <w:tc>
          <w:tcPr>
            <w:tcW w:w="2504" w:type="dxa"/>
          </w:tcPr>
          <w:p w:rsidR="00081AE3" w:rsidRPr="00770CE8" w:rsidRDefault="00081AE3" w:rsidP="001D05E5">
            <w:pPr>
              <w:jc w:val="both"/>
              <w:rPr>
                <w:rFonts w:ascii="Palatino Linotype" w:hAnsi="Palatino Linotype"/>
                <w:sz w:val="24"/>
                <w:szCs w:val="24"/>
              </w:rPr>
            </w:pPr>
          </w:p>
        </w:tc>
      </w:tr>
      <w:tr w:rsidR="00081AE3" w:rsidRPr="00770CE8" w:rsidTr="001D05E5">
        <w:trPr>
          <w:trHeight w:val="283"/>
        </w:trPr>
        <w:tc>
          <w:tcPr>
            <w:tcW w:w="846" w:type="dxa"/>
          </w:tcPr>
          <w:p w:rsidR="00081AE3" w:rsidRPr="00770CE8" w:rsidRDefault="00081AE3" w:rsidP="00081AE3">
            <w:pPr>
              <w:pStyle w:val="ListParagraph"/>
              <w:numPr>
                <w:ilvl w:val="0"/>
                <w:numId w:val="1"/>
              </w:numPr>
              <w:spacing w:after="0" w:line="240" w:lineRule="auto"/>
              <w:jc w:val="both"/>
              <w:rPr>
                <w:rFonts w:ascii="Palatino Linotype" w:hAnsi="Palatino Linotype"/>
                <w:sz w:val="24"/>
                <w:szCs w:val="24"/>
              </w:rPr>
            </w:pPr>
          </w:p>
        </w:tc>
        <w:tc>
          <w:tcPr>
            <w:tcW w:w="1706" w:type="dxa"/>
          </w:tcPr>
          <w:p w:rsidR="00081AE3" w:rsidRPr="00770CE8" w:rsidRDefault="00081AE3" w:rsidP="001D05E5">
            <w:pPr>
              <w:jc w:val="both"/>
              <w:rPr>
                <w:rFonts w:ascii="Palatino Linotype" w:hAnsi="Palatino Linotype"/>
                <w:sz w:val="24"/>
                <w:szCs w:val="24"/>
              </w:rPr>
            </w:pPr>
          </w:p>
        </w:tc>
        <w:tc>
          <w:tcPr>
            <w:tcW w:w="1843" w:type="dxa"/>
          </w:tcPr>
          <w:p w:rsidR="00081AE3" w:rsidRPr="00770CE8" w:rsidRDefault="00081AE3" w:rsidP="001D05E5">
            <w:pPr>
              <w:jc w:val="both"/>
              <w:rPr>
                <w:rFonts w:ascii="Palatino Linotype" w:hAnsi="Palatino Linotype"/>
                <w:sz w:val="24"/>
                <w:szCs w:val="24"/>
              </w:rPr>
            </w:pPr>
          </w:p>
        </w:tc>
        <w:tc>
          <w:tcPr>
            <w:tcW w:w="1984" w:type="dxa"/>
          </w:tcPr>
          <w:p w:rsidR="00081AE3" w:rsidRPr="00770CE8" w:rsidRDefault="00081AE3" w:rsidP="001D05E5">
            <w:pPr>
              <w:jc w:val="both"/>
              <w:rPr>
                <w:rFonts w:ascii="Palatino Linotype" w:hAnsi="Palatino Linotype"/>
                <w:sz w:val="24"/>
                <w:szCs w:val="24"/>
              </w:rPr>
            </w:pPr>
          </w:p>
        </w:tc>
        <w:tc>
          <w:tcPr>
            <w:tcW w:w="2504" w:type="dxa"/>
          </w:tcPr>
          <w:p w:rsidR="00081AE3" w:rsidRPr="00770CE8" w:rsidRDefault="00081AE3" w:rsidP="001D05E5">
            <w:pPr>
              <w:jc w:val="both"/>
              <w:rPr>
                <w:rFonts w:ascii="Palatino Linotype" w:hAnsi="Palatino Linotype"/>
                <w:sz w:val="24"/>
                <w:szCs w:val="24"/>
              </w:rPr>
            </w:pPr>
          </w:p>
        </w:tc>
      </w:tr>
      <w:tr w:rsidR="00081AE3" w:rsidRPr="00770CE8" w:rsidTr="001D05E5">
        <w:trPr>
          <w:trHeight w:val="272"/>
        </w:trPr>
        <w:tc>
          <w:tcPr>
            <w:tcW w:w="846" w:type="dxa"/>
          </w:tcPr>
          <w:p w:rsidR="00081AE3" w:rsidRPr="00770CE8" w:rsidRDefault="00081AE3" w:rsidP="00081AE3">
            <w:pPr>
              <w:pStyle w:val="ListParagraph"/>
              <w:numPr>
                <w:ilvl w:val="0"/>
                <w:numId w:val="1"/>
              </w:numPr>
              <w:spacing w:after="0" w:line="240" w:lineRule="auto"/>
              <w:jc w:val="both"/>
              <w:rPr>
                <w:rFonts w:ascii="Palatino Linotype" w:hAnsi="Palatino Linotype"/>
                <w:sz w:val="24"/>
                <w:szCs w:val="24"/>
              </w:rPr>
            </w:pPr>
          </w:p>
        </w:tc>
        <w:tc>
          <w:tcPr>
            <w:tcW w:w="1706" w:type="dxa"/>
          </w:tcPr>
          <w:p w:rsidR="00081AE3" w:rsidRPr="00770CE8" w:rsidRDefault="00081AE3" w:rsidP="001D05E5">
            <w:pPr>
              <w:jc w:val="both"/>
              <w:rPr>
                <w:rFonts w:ascii="Palatino Linotype" w:hAnsi="Palatino Linotype"/>
                <w:sz w:val="24"/>
                <w:szCs w:val="24"/>
              </w:rPr>
            </w:pPr>
          </w:p>
        </w:tc>
        <w:tc>
          <w:tcPr>
            <w:tcW w:w="1843" w:type="dxa"/>
          </w:tcPr>
          <w:p w:rsidR="00081AE3" w:rsidRPr="00770CE8" w:rsidRDefault="00081AE3" w:rsidP="001D05E5">
            <w:pPr>
              <w:jc w:val="both"/>
              <w:rPr>
                <w:rFonts w:ascii="Palatino Linotype" w:hAnsi="Palatino Linotype"/>
                <w:sz w:val="24"/>
                <w:szCs w:val="24"/>
              </w:rPr>
            </w:pPr>
          </w:p>
        </w:tc>
        <w:tc>
          <w:tcPr>
            <w:tcW w:w="1984" w:type="dxa"/>
          </w:tcPr>
          <w:p w:rsidR="00081AE3" w:rsidRPr="00770CE8" w:rsidRDefault="00081AE3" w:rsidP="001D05E5">
            <w:pPr>
              <w:jc w:val="both"/>
              <w:rPr>
                <w:rFonts w:ascii="Palatino Linotype" w:hAnsi="Palatino Linotype"/>
                <w:sz w:val="24"/>
                <w:szCs w:val="24"/>
              </w:rPr>
            </w:pPr>
          </w:p>
        </w:tc>
        <w:tc>
          <w:tcPr>
            <w:tcW w:w="2504" w:type="dxa"/>
          </w:tcPr>
          <w:p w:rsidR="00081AE3" w:rsidRPr="00770CE8" w:rsidRDefault="00081AE3" w:rsidP="001D05E5">
            <w:pPr>
              <w:jc w:val="both"/>
              <w:rPr>
                <w:rFonts w:ascii="Palatino Linotype" w:hAnsi="Palatino Linotype"/>
                <w:sz w:val="24"/>
                <w:szCs w:val="24"/>
              </w:rPr>
            </w:pPr>
          </w:p>
        </w:tc>
      </w:tr>
    </w:tbl>
    <w:p w:rsidR="00081AE3" w:rsidRPr="00770CE8" w:rsidRDefault="00081AE3" w:rsidP="00081AE3">
      <w:pPr>
        <w:jc w:val="both"/>
        <w:rPr>
          <w:rFonts w:ascii="Palatino Linotype" w:hAnsi="Palatino Linotype"/>
          <w:b/>
          <w:sz w:val="24"/>
          <w:szCs w:val="24"/>
        </w:rPr>
      </w:pPr>
    </w:p>
    <w:p w:rsidR="00081AE3" w:rsidRPr="00770CE8" w:rsidRDefault="00081AE3" w:rsidP="00081AE3">
      <w:pPr>
        <w:pStyle w:val="BodyText"/>
        <w:spacing w:line="254" w:lineRule="auto"/>
        <w:ind w:right="95"/>
        <w:jc w:val="both"/>
        <w:rPr>
          <w:rFonts w:ascii="Palatino Linotype" w:hAnsi="Palatino Linotype"/>
          <w:sz w:val="24"/>
          <w:szCs w:val="24"/>
        </w:rPr>
      </w:pPr>
      <w:r w:rsidRPr="00770CE8">
        <w:rPr>
          <w:rFonts w:ascii="Palatino Linotype" w:hAnsi="Palatino Linotype"/>
          <w:sz w:val="24"/>
          <w:szCs w:val="24"/>
        </w:rPr>
        <w:t xml:space="preserve">Comments on the draft regulations using the prescribed public comments form available on the Authority’s website or written memoranda clearly marked “PUBLIC COMMENTS ON DRAFT PETROLEUM REGULATIONS” can be sent by email to </w:t>
      </w:r>
      <w:hyperlink r:id="rId8" w:history="1">
        <w:r w:rsidRPr="00770CE8">
          <w:rPr>
            <w:rStyle w:val="Hyperlink"/>
            <w:rFonts w:ascii="Palatino Linotype" w:hAnsi="Palatino Linotype"/>
            <w:sz w:val="24"/>
            <w:szCs w:val="24"/>
          </w:rPr>
          <w:t>petroleum@epra.go.ke</w:t>
        </w:r>
      </w:hyperlink>
      <w:r w:rsidRPr="00770CE8">
        <w:rPr>
          <w:rStyle w:val="Hyperlink"/>
          <w:rFonts w:ascii="Palatino Linotype" w:hAnsi="Palatino Linotype"/>
          <w:sz w:val="24"/>
          <w:szCs w:val="24"/>
        </w:rPr>
        <w:t>.</w:t>
      </w:r>
      <w:r w:rsidRPr="00770CE8">
        <w:rPr>
          <w:rStyle w:val="Hyperlink"/>
          <w:rFonts w:ascii="Palatino Linotype" w:hAnsi="Palatino Linotype"/>
          <w:sz w:val="24"/>
          <w:szCs w:val="24"/>
          <w:u w:val="none"/>
        </w:rPr>
        <w:t xml:space="preserve"> </w:t>
      </w:r>
      <w:r w:rsidRPr="00770CE8">
        <w:rPr>
          <w:rStyle w:val="Hyperlink"/>
          <w:rFonts w:ascii="Palatino Linotype" w:hAnsi="Palatino Linotype"/>
          <w:color w:val="000000" w:themeColor="text1"/>
          <w:sz w:val="24"/>
          <w:szCs w:val="24"/>
          <w:u w:val="none"/>
        </w:rPr>
        <w:t>In addition, comments may be dropped</w:t>
      </w:r>
      <w:r w:rsidRPr="00770CE8">
        <w:rPr>
          <w:rFonts w:ascii="Palatino Linotype" w:hAnsi="Palatino Linotype"/>
          <w:color w:val="000000" w:themeColor="text1"/>
          <w:sz w:val="24"/>
          <w:szCs w:val="24"/>
        </w:rPr>
        <w:t xml:space="preserve"> at the Authority’s headquarters in Nairobi and/ or sat</w:t>
      </w:r>
      <w:r w:rsidRPr="00770CE8">
        <w:rPr>
          <w:rFonts w:ascii="Palatino Linotype" w:hAnsi="Palatino Linotype"/>
          <w:sz w:val="24"/>
          <w:szCs w:val="24"/>
        </w:rPr>
        <w:t>ellite oﬃces listed below between 8:00 a.m. and 5:00 a.m. during business days not later than Monday, 1</w:t>
      </w:r>
      <w:r w:rsidRPr="00770CE8">
        <w:rPr>
          <w:rFonts w:ascii="Palatino Linotype" w:hAnsi="Palatino Linotype"/>
          <w:sz w:val="24"/>
          <w:szCs w:val="24"/>
          <w:vertAlign w:val="superscript"/>
        </w:rPr>
        <w:t xml:space="preserve">st </w:t>
      </w:r>
      <w:r w:rsidRPr="00770CE8">
        <w:rPr>
          <w:rFonts w:ascii="Palatino Linotype" w:hAnsi="Palatino Linotype"/>
          <w:sz w:val="24"/>
          <w:szCs w:val="24"/>
        </w:rPr>
        <w:t>March 2021.</w:t>
      </w:r>
    </w:p>
    <w:p w:rsidR="00081AE3" w:rsidRPr="00770CE8" w:rsidRDefault="00081AE3" w:rsidP="00081AE3">
      <w:pPr>
        <w:pStyle w:val="BodyText"/>
        <w:spacing w:line="254" w:lineRule="auto"/>
        <w:ind w:left="567" w:right="1017"/>
        <w:jc w:val="both"/>
        <w:rPr>
          <w:rFonts w:ascii="Palatino Linotype" w:hAnsi="Palatino Linotype"/>
          <w:sz w:val="24"/>
          <w:szCs w:val="24"/>
        </w:rPr>
      </w:pPr>
    </w:p>
    <w:tbl>
      <w:tblPr>
        <w:tblW w:w="8964" w:type="dxa"/>
        <w:tblInd w:w="-5" w:type="dxa"/>
        <w:tblLook w:val="04A0" w:firstRow="1" w:lastRow="0" w:firstColumn="1" w:lastColumn="0" w:noHBand="0" w:noVBand="1"/>
      </w:tblPr>
      <w:tblGrid>
        <w:gridCol w:w="4253"/>
        <w:gridCol w:w="4711"/>
      </w:tblGrid>
      <w:tr w:rsidR="00081AE3" w:rsidRPr="00770CE8" w:rsidTr="001D05E5">
        <w:trPr>
          <w:trHeight w:val="303"/>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AE3" w:rsidRPr="00770CE8" w:rsidRDefault="00081AE3" w:rsidP="001D05E5">
            <w:pPr>
              <w:jc w:val="both"/>
              <w:rPr>
                <w:rFonts w:ascii="Palatino Linotype" w:eastAsia="Times New Roman" w:hAnsi="Palatino Linotype" w:cs="Calibri"/>
                <w:b/>
                <w:color w:val="000000"/>
                <w:sz w:val="24"/>
                <w:szCs w:val="24"/>
                <w:lang w:eastAsia="en-GB"/>
              </w:rPr>
            </w:pPr>
            <w:r w:rsidRPr="00770CE8">
              <w:rPr>
                <w:rFonts w:ascii="Palatino Linotype" w:eastAsia="Times New Roman" w:hAnsi="Palatino Linotype" w:cs="Calibri"/>
                <w:b/>
                <w:color w:val="000000"/>
                <w:sz w:val="24"/>
                <w:szCs w:val="24"/>
                <w:lang w:eastAsia="en-GB"/>
              </w:rPr>
              <w:t>Regions</w:t>
            </w:r>
          </w:p>
        </w:tc>
        <w:tc>
          <w:tcPr>
            <w:tcW w:w="4711" w:type="dxa"/>
            <w:tcBorders>
              <w:top w:val="single" w:sz="4" w:space="0" w:color="auto"/>
              <w:left w:val="nil"/>
              <w:bottom w:val="single" w:sz="4" w:space="0" w:color="auto"/>
              <w:right w:val="single" w:sz="4" w:space="0" w:color="auto"/>
            </w:tcBorders>
            <w:shd w:val="clear" w:color="auto" w:fill="auto"/>
            <w:noWrap/>
            <w:vAlign w:val="bottom"/>
          </w:tcPr>
          <w:p w:rsidR="00081AE3" w:rsidRPr="00770CE8" w:rsidRDefault="00081AE3" w:rsidP="001D05E5">
            <w:pPr>
              <w:jc w:val="both"/>
              <w:rPr>
                <w:rFonts w:ascii="Palatino Linotype" w:eastAsia="Times New Roman" w:hAnsi="Palatino Linotype" w:cs="Calibri"/>
                <w:b/>
                <w:color w:val="000000"/>
                <w:sz w:val="24"/>
                <w:szCs w:val="24"/>
                <w:lang w:eastAsia="en-GB"/>
              </w:rPr>
            </w:pPr>
            <w:r w:rsidRPr="00770CE8">
              <w:rPr>
                <w:rFonts w:ascii="Palatino Linotype" w:eastAsia="Times New Roman" w:hAnsi="Palatino Linotype" w:cs="Calibri"/>
                <w:b/>
                <w:color w:val="000000"/>
                <w:sz w:val="24"/>
                <w:szCs w:val="24"/>
                <w:lang w:eastAsia="en-GB"/>
              </w:rPr>
              <w:t>Physical Address</w:t>
            </w:r>
          </w:p>
        </w:tc>
      </w:tr>
      <w:tr w:rsidR="00081AE3" w:rsidRPr="00770CE8" w:rsidTr="001D05E5">
        <w:trPr>
          <w:trHeight w:val="303"/>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Nairobi Oﬃce</w:t>
            </w:r>
          </w:p>
        </w:tc>
        <w:tc>
          <w:tcPr>
            <w:tcW w:w="4711" w:type="dxa"/>
            <w:tcBorders>
              <w:top w:val="single" w:sz="4" w:space="0" w:color="auto"/>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1</w:t>
            </w:r>
            <w:r w:rsidRPr="00770CE8">
              <w:rPr>
                <w:rFonts w:ascii="Palatino Linotype" w:eastAsia="Times New Roman" w:hAnsi="Palatino Linotype" w:cs="Calibri"/>
                <w:color w:val="000000"/>
                <w:sz w:val="24"/>
                <w:szCs w:val="24"/>
                <w:vertAlign w:val="superscript"/>
                <w:lang w:eastAsia="en-GB"/>
              </w:rPr>
              <w:t>st</w:t>
            </w:r>
            <w:r w:rsidRPr="00770CE8">
              <w:rPr>
                <w:rFonts w:ascii="Palatino Linotype" w:eastAsia="Times New Roman" w:hAnsi="Palatino Linotype" w:cs="Calibri"/>
                <w:color w:val="000000"/>
                <w:sz w:val="24"/>
                <w:szCs w:val="24"/>
                <w:lang w:eastAsia="en-GB"/>
              </w:rPr>
              <w:t xml:space="preserve"> Floor, Eagle Africa Centre, Longonot Road, Upper Hill</w:t>
            </w:r>
          </w:p>
        </w:tc>
      </w:tr>
      <w:tr w:rsidR="00081AE3" w:rsidRPr="00770CE8" w:rsidTr="001D05E5">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Coast Region Oﬃce - Mombasa</w:t>
            </w:r>
          </w:p>
        </w:tc>
        <w:tc>
          <w:tcPr>
            <w:tcW w:w="4711" w:type="dxa"/>
            <w:tcBorders>
              <w:top w:val="nil"/>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3</w:t>
            </w:r>
            <w:r w:rsidRPr="00770CE8">
              <w:rPr>
                <w:rFonts w:ascii="Palatino Linotype" w:eastAsia="Times New Roman" w:hAnsi="Palatino Linotype" w:cs="Calibri"/>
                <w:color w:val="000000"/>
                <w:sz w:val="24"/>
                <w:szCs w:val="24"/>
                <w:vertAlign w:val="superscript"/>
                <w:lang w:eastAsia="en-GB"/>
              </w:rPr>
              <w:t>rd</w:t>
            </w:r>
            <w:r w:rsidRPr="00770CE8">
              <w:rPr>
                <w:rFonts w:ascii="Palatino Linotype" w:eastAsia="Times New Roman" w:hAnsi="Palatino Linotype" w:cs="Calibri"/>
                <w:color w:val="000000"/>
                <w:sz w:val="24"/>
                <w:szCs w:val="24"/>
                <w:lang w:eastAsia="en-GB"/>
              </w:rPr>
              <w:t xml:space="preserve"> ﬂoor, Kilindini Plaza Building, Moi Avenue</w:t>
            </w:r>
          </w:p>
        </w:tc>
      </w:tr>
      <w:tr w:rsidR="00081AE3" w:rsidRPr="00770CE8" w:rsidTr="001D05E5">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Nyanza &amp; Western Region - Kisumu</w:t>
            </w:r>
          </w:p>
        </w:tc>
        <w:tc>
          <w:tcPr>
            <w:tcW w:w="4711" w:type="dxa"/>
            <w:tcBorders>
              <w:top w:val="nil"/>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2</w:t>
            </w:r>
            <w:r w:rsidRPr="00770CE8">
              <w:rPr>
                <w:rFonts w:ascii="Palatino Linotype" w:eastAsia="Times New Roman" w:hAnsi="Palatino Linotype" w:cs="Calibri"/>
                <w:color w:val="000000"/>
                <w:sz w:val="24"/>
                <w:szCs w:val="24"/>
                <w:vertAlign w:val="superscript"/>
                <w:lang w:eastAsia="en-GB"/>
              </w:rPr>
              <w:t>nd</w:t>
            </w:r>
            <w:r w:rsidRPr="00770CE8">
              <w:rPr>
                <w:rFonts w:ascii="Palatino Linotype" w:eastAsia="Times New Roman" w:hAnsi="Palatino Linotype" w:cs="Calibri"/>
                <w:color w:val="000000"/>
                <w:sz w:val="24"/>
                <w:szCs w:val="24"/>
                <w:lang w:eastAsia="en-GB"/>
              </w:rPr>
              <w:t xml:space="preserve"> ﬂoor, Lake Basin Mall</w:t>
            </w:r>
          </w:p>
        </w:tc>
      </w:tr>
      <w:tr w:rsidR="00081AE3" w:rsidRPr="00770CE8" w:rsidTr="001D05E5">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North Rift Region - Eldoret</w:t>
            </w:r>
          </w:p>
        </w:tc>
        <w:tc>
          <w:tcPr>
            <w:tcW w:w="4711" w:type="dxa"/>
            <w:tcBorders>
              <w:top w:val="nil"/>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7</w:t>
            </w:r>
            <w:r w:rsidRPr="00770CE8">
              <w:rPr>
                <w:rFonts w:ascii="Palatino Linotype" w:eastAsia="Times New Roman" w:hAnsi="Palatino Linotype" w:cs="Calibri"/>
                <w:color w:val="000000"/>
                <w:sz w:val="24"/>
                <w:szCs w:val="24"/>
                <w:vertAlign w:val="superscript"/>
                <w:lang w:eastAsia="en-GB"/>
              </w:rPr>
              <w:t>th</w:t>
            </w:r>
            <w:r w:rsidRPr="00770CE8">
              <w:rPr>
                <w:rFonts w:ascii="Palatino Linotype" w:eastAsia="Times New Roman" w:hAnsi="Palatino Linotype" w:cs="Calibri"/>
                <w:color w:val="000000"/>
                <w:sz w:val="24"/>
                <w:szCs w:val="24"/>
                <w:lang w:eastAsia="en-GB"/>
              </w:rPr>
              <w:t xml:space="preserve"> Floor, Eldoret Daima Towers</w:t>
            </w:r>
          </w:p>
        </w:tc>
      </w:tr>
      <w:tr w:rsidR="00081AE3" w:rsidRPr="00770CE8" w:rsidTr="001D05E5">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South Rift Region - Nakuru</w:t>
            </w:r>
          </w:p>
        </w:tc>
        <w:tc>
          <w:tcPr>
            <w:tcW w:w="4711" w:type="dxa"/>
            <w:tcBorders>
              <w:top w:val="nil"/>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3</w:t>
            </w:r>
            <w:r w:rsidRPr="00770CE8">
              <w:rPr>
                <w:rFonts w:ascii="Palatino Linotype" w:eastAsia="Times New Roman" w:hAnsi="Palatino Linotype" w:cs="Calibri"/>
                <w:color w:val="000000"/>
                <w:sz w:val="24"/>
                <w:szCs w:val="24"/>
                <w:vertAlign w:val="superscript"/>
                <w:lang w:eastAsia="en-GB"/>
              </w:rPr>
              <w:t>rd</w:t>
            </w:r>
            <w:r w:rsidRPr="00770CE8">
              <w:rPr>
                <w:rFonts w:ascii="Palatino Linotype" w:eastAsia="Times New Roman" w:hAnsi="Palatino Linotype" w:cs="Calibri"/>
                <w:color w:val="000000"/>
                <w:sz w:val="24"/>
                <w:szCs w:val="24"/>
                <w:lang w:eastAsia="en-GB"/>
              </w:rPr>
              <w:t xml:space="preserve"> ﬂoor, Jeniﬀer Riria Hub</w:t>
            </w:r>
          </w:p>
        </w:tc>
      </w:tr>
      <w:tr w:rsidR="00081AE3" w:rsidRPr="00770CE8" w:rsidTr="001D05E5">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Central Region - Nyeri</w:t>
            </w:r>
          </w:p>
        </w:tc>
        <w:tc>
          <w:tcPr>
            <w:tcW w:w="4711" w:type="dxa"/>
            <w:tcBorders>
              <w:top w:val="nil"/>
              <w:left w:val="nil"/>
              <w:bottom w:val="single" w:sz="4" w:space="0" w:color="auto"/>
              <w:right w:val="single" w:sz="4" w:space="0" w:color="auto"/>
            </w:tcBorders>
            <w:shd w:val="clear" w:color="auto" w:fill="auto"/>
            <w:noWrap/>
            <w:vAlign w:val="bottom"/>
            <w:hideMark/>
          </w:tcPr>
          <w:p w:rsidR="00081AE3" w:rsidRPr="00770CE8" w:rsidRDefault="00081AE3" w:rsidP="001D05E5">
            <w:pPr>
              <w:jc w:val="both"/>
              <w:rPr>
                <w:rFonts w:ascii="Palatino Linotype" w:eastAsia="Times New Roman" w:hAnsi="Palatino Linotype" w:cs="Calibri"/>
                <w:color w:val="000000"/>
                <w:sz w:val="24"/>
                <w:szCs w:val="24"/>
                <w:lang w:eastAsia="en-GB"/>
              </w:rPr>
            </w:pPr>
            <w:r w:rsidRPr="00770CE8">
              <w:rPr>
                <w:rFonts w:ascii="Palatino Linotype" w:eastAsia="Times New Roman" w:hAnsi="Palatino Linotype" w:cs="Calibri"/>
                <w:color w:val="000000"/>
                <w:sz w:val="24"/>
                <w:szCs w:val="24"/>
                <w:lang w:eastAsia="en-GB"/>
              </w:rPr>
              <w:t>4</w:t>
            </w:r>
            <w:r w:rsidRPr="00770CE8">
              <w:rPr>
                <w:rFonts w:ascii="Palatino Linotype" w:eastAsia="Times New Roman" w:hAnsi="Palatino Linotype" w:cs="Calibri"/>
                <w:color w:val="000000"/>
                <w:sz w:val="24"/>
                <w:szCs w:val="24"/>
                <w:vertAlign w:val="superscript"/>
                <w:lang w:eastAsia="en-GB"/>
              </w:rPr>
              <w:t>th</w:t>
            </w:r>
            <w:r w:rsidRPr="00770CE8">
              <w:rPr>
                <w:rFonts w:ascii="Palatino Linotype" w:eastAsia="Times New Roman" w:hAnsi="Palatino Linotype" w:cs="Calibri"/>
                <w:color w:val="000000"/>
                <w:sz w:val="24"/>
                <w:szCs w:val="24"/>
                <w:lang w:eastAsia="en-GB"/>
              </w:rPr>
              <w:t xml:space="preserve"> Floor, KDS Centre, Kimathi Way</w:t>
            </w:r>
          </w:p>
        </w:tc>
      </w:tr>
    </w:tbl>
    <w:p w:rsidR="00081AE3" w:rsidRPr="00770CE8" w:rsidRDefault="00081AE3" w:rsidP="00081AE3">
      <w:pPr>
        <w:jc w:val="both"/>
        <w:rPr>
          <w:rFonts w:ascii="Palatino Linotype" w:hAnsi="Palatino Linotype"/>
          <w:b/>
          <w:sz w:val="24"/>
          <w:szCs w:val="24"/>
        </w:rPr>
      </w:pPr>
    </w:p>
    <w:p w:rsidR="00081AE3" w:rsidRPr="00770CE8" w:rsidRDefault="00081AE3" w:rsidP="00081AE3">
      <w:pPr>
        <w:pStyle w:val="BodyText"/>
        <w:spacing w:line="254" w:lineRule="auto"/>
        <w:ind w:right="1017"/>
        <w:jc w:val="both"/>
        <w:rPr>
          <w:rFonts w:ascii="Palatino Linotype" w:hAnsi="Palatino Linotype"/>
          <w:b/>
          <w:sz w:val="24"/>
          <w:szCs w:val="24"/>
        </w:rPr>
      </w:pPr>
      <w:r w:rsidRPr="00770CE8">
        <w:rPr>
          <w:rFonts w:ascii="Palatino Linotype" w:hAnsi="Palatino Linotype"/>
          <w:b/>
          <w:sz w:val="24"/>
          <w:szCs w:val="24"/>
        </w:rPr>
        <w:t>Corporate Communications</w:t>
      </w:r>
    </w:p>
    <w:p w:rsidR="00081AE3" w:rsidRPr="00770CE8" w:rsidRDefault="00081AE3" w:rsidP="00081AE3">
      <w:pPr>
        <w:pStyle w:val="BodyText"/>
        <w:spacing w:line="254" w:lineRule="auto"/>
        <w:ind w:right="1017"/>
        <w:jc w:val="both"/>
        <w:rPr>
          <w:rFonts w:ascii="Palatino Linotype" w:hAnsi="Palatino Linotype"/>
          <w:sz w:val="24"/>
          <w:szCs w:val="24"/>
        </w:rPr>
      </w:pPr>
      <w:r w:rsidRPr="00770CE8">
        <w:rPr>
          <w:rFonts w:ascii="Palatino Linotype" w:hAnsi="Palatino Linotype"/>
          <w:sz w:val="24"/>
          <w:szCs w:val="24"/>
        </w:rPr>
        <w:t>Energy and Petroleum Regulatory Authority</w:t>
      </w:r>
    </w:p>
    <w:p w:rsidR="00081AE3" w:rsidRPr="00770CE8" w:rsidRDefault="00081AE3" w:rsidP="00081AE3">
      <w:pPr>
        <w:pStyle w:val="BodyText"/>
        <w:spacing w:line="254" w:lineRule="auto"/>
        <w:ind w:right="1017"/>
        <w:jc w:val="both"/>
        <w:rPr>
          <w:rFonts w:ascii="Palatino Linotype" w:hAnsi="Palatino Linotype"/>
          <w:sz w:val="24"/>
          <w:szCs w:val="24"/>
        </w:rPr>
      </w:pPr>
      <w:r w:rsidRPr="00770CE8">
        <w:rPr>
          <w:rFonts w:ascii="Palatino Linotype" w:hAnsi="Palatino Linotype"/>
          <w:sz w:val="24"/>
          <w:szCs w:val="24"/>
        </w:rPr>
        <w:t>Eagle Africa Center, Longonot Road, Upper Hill</w:t>
      </w:r>
    </w:p>
    <w:p w:rsidR="00081AE3" w:rsidRPr="00770CE8" w:rsidRDefault="00081AE3" w:rsidP="00081AE3">
      <w:pPr>
        <w:pStyle w:val="BodyText"/>
        <w:spacing w:line="254" w:lineRule="auto"/>
        <w:ind w:right="1017"/>
        <w:jc w:val="both"/>
        <w:rPr>
          <w:rFonts w:ascii="Palatino Linotype" w:hAnsi="Palatino Linotype"/>
          <w:sz w:val="24"/>
          <w:szCs w:val="24"/>
        </w:rPr>
      </w:pPr>
      <w:r w:rsidRPr="00770CE8">
        <w:rPr>
          <w:rFonts w:ascii="Palatino Linotype" w:hAnsi="Palatino Linotype"/>
          <w:sz w:val="24"/>
          <w:szCs w:val="24"/>
        </w:rPr>
        <w:t xml:space="preserve">Telephone: </w:t>
      </w:r>
      <w:r w:rsidRPr="00770CE8">
        <w:rPr>
          <w:rFonts w:ascii="Palatino Linotype" w:hAnsi="Palatino Linotype"/>
          <w:bCs/>
          <w:sz w:val="24"/>
          <w:szCs w:val="24"/>
        </w:rPr>
        <w:t>+254-709 336 000|020 284 7000|708 444 000</w:t>
      </w:r>
    </w:p>
    <w:p w:rsidR="00081AE3" w:rsidRPr="00770CE8" w:rsidRDefault="00081AE3" w:rsidP="00081AE3">
      <w:pPr>
        <w:pStyle w:val="BodyText"/>
        <w:spacing w:line="254" w:lineRule="auto"/>
        <w:ind w:right="1017"/>
        <w:jc w:val="both"/>
        <w:rPr>
          <w:rFonts w:ascii="Palatino Linotype" w:hAnsi="Palatino Linotype"/>
          <w:sz w:val="24"/>
          <w:szCs w:val="24"/>
        </w:rPr>
      </w:pPr>
      <w:r w:rsidRPr="00770CE8">
        <w:rPr>
          <w:rFonts w:ascii="Palatino Linotype" w:hAnsi="Palatino Linotype"/>
          <w:sz w:val="24"/>
          <w:szCs w:val="24"/>
        </w:rPr>
        <w:t>P.O. Box 42681-00100 Nairobi</w:t>
      </w:r>
    </w:p>
    <w:p w:rsidR="00081AE3" w:rsidRPr="00770CE8" w:rsidRDefault="00081AE3" w:rsidP="00081AE3">
      <w:pPr>
        <w:jc w:val="both"/>
        <w:rPr>
          <w:rFonts w:ascii="Palatino Linotype" w:hAnsi="Palatino Linotype"/>
          <w:b/>
          <w:sz w:val="24"/>
          <w:szCs w:val="24"/>
        </w:rPr>
      </w:pPr>
    </w:p>
    <w:p w:rsidR="00B90C4A" w:rsidRDefault="00081AE3"/>
    <w:sectPr w:rsidR="00B90C4A" w:rsidSect="0085486B">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24926589"/>
      <w:docPartObj>
        <w:docPartGallery w:val="Page Numbers (Bottom of Page)"/>
        <w:docPartUnique/>
      </w:docPartObj>
    </w:sdtPr>
    <w:sdtEndPr/>
    <w:sdtContent>
      <w:sdt>
        <w:sdtPr>
          <w:rPr>
            <w:rFonts w:ascii="Book Antiqua" w:hAnsi="Book Antiqua"/>
          </w:rPr>
          <w:id w:val="565050477"/>
          <w:docPartObj>
            <w:docPartGallery w:val="Page Numbers (Top of Page)"/>
            <w:docPartUnique/>
          </w:docPartObj>
        </w:sdtPr>
        <w:sdtEndPr/>
        <w:sdtContent>
          <w:p w:rsidR="00523085" w:rsidRPr="00523085" w:rsidRDefault="00081AE3">
            <w:pPr>
              <w:pStyle w:val="Footer"/>
              <w:jc w:val="center"/>
              <w:rPr>
                <w:rFonts w:ascii="Book Antiqua" w:hAnsi="Book Antiqua"/>
              </w:rPr>
            </w:pPr>
            <w:r w:rsidRPr="008500E6">
              <w:rPr>
                <w:rFonts w:ascii="Book Antiqua" w:hAnsi="Book Antiqua"/>
              </w:rPr>
              <w:t xml:space="preserve">Page </w:t>
            </w:r>
            <w:r w:rsidRPr="008500E6">
              <w:rPr>
                <w:rFonts w:ascii="Book Antiqua" w:hAnsi="Book Antiqua"/>
                <w:b/>
                <w:sz w:val="24"/>
                <w:szCs w:val="24"/>
              </w:rPr>
              <w:fldChar w:fldCharType="begin"/>
            </w:r>
            <w:r w:rsidRPr="008500E6">
              <w:rPr>
                <w:rFonts w:ascii="Book Antiqua" w:hAnsi="Book Antiqua"/>
                <w:b/>
              </w:rPr>
              <w:instrText xml:space="preserve"> PAGE </w:instrText>
            </w:r>
            <w:r w:rsidRPr="008500E6">
              <w:rPr>
                <w:rFonts w:ascii="Book Antiqua" w:hAnsi="Book Antiqua"/>
                <w:b/>
                <w:sz w:val="24"/>
                <w:szCs w:val="24"/>
              </w:rPr>
              <w:fldChar w:fldCharType="separate"/>
            </w:r>
            <w:r>
              <w:rPr>
                <w:rFonts w:ascii="Book Antiqua" w:hAnsi="Book Antiqua"/>
                <w:b/>
                <w:noProof/>
              </w:rPr>
              <w:t>1</w:t>
            </w:r>
            <w:r w:rsidRPr="008500E6">
              <w:rPr>
                <w:rFonts w:ascii="Book Antiqua" w:hAnsi="Book Antiqua"/>
                <w:b/>
                <w:sz w:val="24"/>
                <w:szCs w:val="24"/>
              </w:rPr>
              <w:fldChar w:fldCharType="end"/>
            </w:r>
            <w:r w:rsidRPr="008500E6">
              <w:rPr>
                <w:rFonts w:ascii="Book Antiqua" w:hAnsi="Book Antiqua"/>
              </w:rPr>
              <w:t xml:space="preserve"> of </w:t>
            </w:r>
            <w:r w:rsidRPr="008500E6">
              <w:rPr>
                <w:rFonts w:ascii="Book Antiqua" w:hAnsi="Book Antiqua"/>
                <w:b/>
                <w:sz w:val="24"/>
                <w:szCs w:val="24"/>
              </w:rPr>
              <w:fldChar w:fldCharType="begin"/>
            </w:r>
            <w:r w:rsidRPr="008500E6">
              <w:rPr>
                <w:rFonts w:ascii="Book Antiqua" w:hAnsi="Book Antiqua"/>
                <w:b/>
              </w:rPr>
              <w:instrText xml:space="preserve"> NUMPAGES  </w:instrText>
            </w:r>
            <w:r w:rsidRPr="008500E6">
              <w:rPr>
                <w:rFonts w:ascii="Book Antiqua" w:hAnsi="Book Antiqua"/>
                <w:b/>
                <w:sz w:val="24"/>
                <w:szCs w:val="24"/>
              </w:rPr>
              <w:fldChar w:fldCharType="separate"/>
            </w:r>
            <w:r>
              <w:rPr>
                <w:rFonts w:ascii="Book Antiqua" w:hAnsi="Book Antiqua"/>
                <w:b/>
                <w:noProof/>
              </w:rPr>
              <w:t>2</w:t>
            </w:r>
            <w:r w:rsidRPr="008500E6">
              <w:rPr>
                <w:rFonts w:ascii="Book Antiqua" w:hAnsi="Book Antiqua"/>
                <w:b/>
                <w:sz w:val="24"/>
                <w:szCs w:val="24"/>
              </w:rPr>
              <w:fldChar w:fldCharType="end"/>
            </w:r>
          </w:p>
        </w:sdtContent>
      </w:sdt>
    </w:sdtContent>
  </w:sdt>
  <w:p w:rsidR="00523085" w:rsidRDefault="00081AE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A5651"/>
    <w:multiLevelType w:val="hybridMultilevel"/>
    <w:tmpl w:val="B7DC09F8"/>
    <w:lvl w:ilvl="0" w:tplc="F2AC596A">
      <w:start w:val="1"/>
      <w:numFmt w:val="lowerRoman"/>
      <w:suff w:val="space"/>
      <w:lvlText w:val="(%1)"/>
      <w:lvlJc w:val="right"/>
      <w:pPr>
        <w:ind w:left="1080" w:hanging="360"/>
      </w:pPr>
      <w:rPr>
        <w:rFonts w:ascii="Book Antiqua" w:hAnsi="Book Antiqu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E3"/>
    <w:rsid w:val="00081AE3"/>
    <w:rsid w:val="000A7C82"/>
    <w:rsid w:val="006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16B8"/>
  <w15:chartTrackingRefBased/>
  <w15:docId w15:val="{9F2AC118-44BC-408E-813B-0915D352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E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AE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AE3"/>
    <w:pPr>
      <w:ind w:left="720"/>
      <w:contextualSpacing/>
    </w:pPr>
  </w:style>
  <w:style w:type="paragraph" w:styleId="Footer">
    <w:name w:val="footer"/>
    <w:basedOn w:val="Normal"/>
    <w:link w:val="FooterChar"/>
    <w:uiPriority w:val="99"/>
    <w:unhideWhenUsed/>
    <w:rsid w:val="00081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E3"/>
    <w:rPr>
      <w:lang w:val="en-GB"/>
    </w:rPr>
  </w:style>
  <w:style w:type="paragraph" w:styleId="BodyText">
    <w:name w:val="Body Text"/>
    <w:basedOn w:val="Normal"/>
    <w:link w:val="BodyTextChar"/>
    <w:uiPriority w:val="1"/>
    <w:qFormat/>
    <w:rsid w:val="00081AE3"/>
    <w:pPr>
      <w:widowControl w:val="0"/>
      <w:autoSpaceDE w:val="0"/>
      <w:autoSpaceDN w:val="0"/>
      <w:spacing w:after="0" w:line="240" w:lineRule="auto"/>
    </w:pPr>
    <w:rPr>
      <w:rFonts w:ascii="Georgia" w:eastAsia="Georgia" w:hAnsi="Georgia" w:cs="Georgia"/>
      <w:lang w:val="en-US" w:bidi="en-US"/>
    </w:rPr>
  </w:style>
  <w:style w:type="character" w:customStyle="1" w:styleId="BodyTextChar">
    <w:name w:val="Body Text Char"/>
    <w:basedOn w:val="DefaultParagraphFont"/>
    <w:link w:val="BodyText"/>
    <w:uiPriority w:val="1"/>
    <w:rsid w:val="00081AE3"/>
    <w:rPr>
      <w:rFonts w:ascii="Georgia" w:eastAsia="Georgia" w:hAnsi="Georgia" w:cs="Georgia"/>
      <w:lang w:bidi="en-US"/>
    </w:rPr>
  </w:style>
  <w:style w:type="character" w:styleId="Hyperlink">
    <w:name w:val="Hyperlink"/>
    <w:basedOn w:val="DefaultParagraphFont"/>
    <w:uiPriority w:val="99"/>
    <w:unhideWhenUsed/>
    <w:rsid w:val="00081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leum@epra.go.ke" TargetMode="External"/><Relationship Id="rId3" Type="http://schemas.openxmlformats.org/officeDocument/2006/relationships/settings" Target="settings.xml"/><Relationship Id="rId7" Type="http://schemas.openxmlformats.org/officeDocument/2006/relationships/hyperlink" Target="http://www.epra.g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ladys.Njoroge\Documents\Draft%20Petroleum%20Regulations%20Gazette%20Vol_%20242%2031-12-20%2031st%20December%202020.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Njoroge</dc:creator>
  <cp:keywords/>
  <dc:description/>
  <cp:lastModifiedBy>Gladys Njoroge</cp:lastModifiedBy>
  <cp:revision>1</cp:revision>
  <dcterms:created xsi:type="dcterms:W3CDTF">2021-02-03T08:57:00Z</dcterms:created>
  <dcterms:modified xsi:type="dcterms:W3CDTF">2021-02-03T08:57:00Z</dcterms:modified>
</cp:coreProperties>
</file>